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54" w:rsidRPr="00D10154" w:rsidRDefault="00D10154" w:rsidP="00D1015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10154">
        <w:rPr>
          <w:rFonts w:ascii="Comic Sans MS" w:eastAsia="Times New Roman" w:hAnsi="Comic Sans MS" w:cs="Times New Roman"/>
          <w:b/>
          <w:bCs/>
          <w:sz w:val="28"/>
          <w:szCs w:val="36"/>
          <w:lang w:eastAsia="fr-FR"/>
        </w:rPr>
        <w:t>Les chemins vers Compostelle en France</w:t>
      </w:r>
    </w:p>
    <w:p w:rsidR="00D10154" w:rsidRPr="00D10154" w:rsidRDefault="00D10154" w:rsidP="00D1015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:rsidR="00D10154" w:rsidRPr="00D10154" w:rsidRDefault="00D10154" w:rsidP="00D10154">
      <w:pPr>
        <w:spacing w:beforeAutospacing="1" w:after="100" w:afterAutospacing="1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Les chemins vers Compostelle en France sont actuellement très nombreux, mais aussi, pour presque tous, de construction très récente : seuls, deux ont des fondements historiques : la via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turonensis</w:t>
      </w:r>
      <w:proofErr w:type="spellEnd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 et la via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tolosana</w:t>
      </w:r>
      <w:proofErr w:type="spellEnd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. Et encore pour ceux-ci les tracés actuels divergent par rapport aux itinéraires suivis au cours des siècles passés.</w:t>
      </w:r>
      <w:hyperlink r:id="rId4" w:history="1">
        <w:r w:rsidRPr="00D10154">
          <w:rPr>
            <w:rFonts w:ascii="Comic Sans MS" w:eastAsia="Times New Roman" w:hAnsi="Comic Sans MS" w:cs="Times New Roman"/>
            <w:b/>
            <w:bCs/>
            <w:noProof/>
            <w:sz w:val="20"/>
            <w:szCs w:val="24"/>
            <w:lang w:eastAsia="fr-FR"/>
          </w:rPr>
          <w:drawing>
            <wp:anchor distT="95250" distB="95250" distL="95250" distR="9525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286000" cy="2162175"/>
              <wp:effectExtent l="19050" t="0" r="0" b="0"/>
              <wp:wrapSquare wrapText="bothSides"/>
              <wp:docPr id="2" name="Image 2" descr="https://verscompostelle.be/images/cartes/cartes%20de%20France/Les%20chemims%20en%20France.jp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verscompostelle.be/images/cartes/cartes%20de%20France/Les%20chemims%20en%20France.jp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0" cy="2162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D10154" w:rsidRPr="00D10154" w:rsidRDefault="00D10154" w:rsidP="00D101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La construction des chemins actuels trouve son origine dans la publication en latin du 5ème livre du Codex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Calixtinus</w:t>
      </w:r>
      <w:proofErr w:type="spellEnd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 en 1882, puis sa traduction en français en 1938 par Jeanne VIEILLARD sous le titre fallacieux "</w:t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Le guide du pèlerin de Saint-Jacques-de-Compostelle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" qu’elle donne à sa publication.</w:t>
      </w:r>
    </w:p>
    <w:p w:rsidR="00D10154" w:rsidRPr="00D10154" w:rsidRDefault="00D10154" w:rsidP="00D101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Ce 5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vertAlign w:val="superscript"/>
          <w:lang w:eastAsia="fr-FR"/>
        </w:rPr>
        <w:t>e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 livre commence ainsi : </w:t>
      </w:r>
    </w:p>
    <w:p w:rsidR="00D10154" w:rsidRPr="00D10154" w:rsidRDefault="00D10154" w:rsidP="00D10154">
      <w:pPr>
        <w:spacing w:beforeAutospacing="1" w:after="100" w:afterAutospacing="1"/>
        <w:ind w:left="708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10154">
        <w:rPr>
          <w:rFonts w:ascii="Comic Sans MS" w:eastAsia="Times New Roman" w:hAnsi="Comic Sans MS" w:cs="Times New Roman"/>
          <w:b/>
          <w:bCs/>
          <w:sz w:val="16"/>
          <w:szCs w:val="20"/>
          <w:lang w:eastAsia="fr-FR"/>
        </w:rPr>
        <w:t> "</w:t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 xml:space="preserve">Quatre chemins vont à Saint-Jacques ; ils se réunissent à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Puente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-la-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Reina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.</w:t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16"/>
          <w:szCs w:val="20"/>
          <w:lang w:eastAsia="fr-FR"/>
        </w:rPr>
        <w:t>     </w:t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16"/>
          <w:szCs w:val="20"/>
          <w:lang w:eastAsia="fr-FR"/>
        </w:rPr>
        <w:br/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- le premier par Saint-Gilles, Montpellier et Toulouse, va au port d'Aspe;           </w:t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br/>
        <w:t>- le deuxième, passe par Notre-Dame du Puy, Sainte-Foy de Conques et Saint-Pierre de Moissac;</w:t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br/>
        <w:t>- le troisième, par Sainte-Madeleine de Vézelay, Saint-Léonard en Limousin et Périgueux;         </w:t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br/>
        <w:t>- le quatrième, par Saint-Martin de Tours, Saint-Hilaire de Poitiers, Saint-Jean d'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Angély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, Saint-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Eutrope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 xml:space="preserve"> de Saintes et Bordeaux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.               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br/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 xml:space="preserve">Ces trois derniers se réunissent à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Ostabat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 xml:space="preserve"> pour traverser les Pyrénées au port de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Cize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 xml:space="preserve"> et rejoindre à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Puente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-la-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Reina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 xml:space="preserve"> (au sud de Pampelune) le premier chemin qui traverse les montagnes au port d'Aspe. À partir de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Puente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-la-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Reina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, il n'y a qu'une voie."</w:t>
      </w:r>
    </w:p>
    <w:p w:rsidR="00D10154" w:rsidRPr="00D10154" w:rsidRDefault="00D10154" w:rsidP="00D101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À partir de ces quelques éléments ont été inventés les 4 grands chemins vers Compostelle en France et leur tracé sous forme de GR au cours des 30 dernières années du XXe siècle.</w:t>
      </w:r>
    </w:p>
    <w:p w:rsidR="00D10154" w:rsidRPr="00D10154" w:rsidRDefault="00D10154" w:rsidP="00D101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En réalité le 5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vertAlign w:val="superscript"/>
          <w:lang w:eastAsia="fr-FR"/>
        </w:rPr>
        <w:t>e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 livre du codex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calixtinus</w:t>
      </w:r>
      <w:proofErr w:type="spellEnd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 est resté totalement inconnu jusqu’en 1882.   </w:t>
      </w:r>
    </w:p>
    <w:p w:rsidR="00D10154" w:rsidRPr="00D10154" w:rsidRDefault="00D10154" w:rsidP="00D10154">
      <w:pPr>
        <w:spacing w:after="100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Comme le démontre l’historienne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Adelyne</w:t>
      </w:r>
      <w:proofErr w:type="spellEnd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Rucquoi</w:t>
      </w:r>
      <w:proofErr w:type="spellEnd"/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 dans " </w:t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 xml:space="preserve">Littérature </w:t>
      </w:r>
      <w:proofErr w:type="spellStart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compostellane</w:t>
      </w:r>
      <w:proofErr w:type="spellEnd"/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 xml:space="preserve"> IXe-XIIe siècles.  Textes et Contextes" :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 le 5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vertAlign w:val="superscript"/>
          <w:lang w:eastAsia="fr-FR"/>
        </w:rPr>
        <w:t>e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 xml:space="preserve"> livre du codex n’était pas un guide écrit à propos d’un chemin très fréquenté, mais semble plutôt être le créateur de ce chemin : " </w:t>
      </w:r>
      <w:r w:rsidRPr="00D10154">
        <w:rPr>
          <w:rFonts w:ascii="Comic Sans MS" w:eastAsia="Times New Roman" w:hAnsi="Comic Sans MS" w:cs="Times New Roman"/>
          <w:b/>
          <w:bCs/>
          <w:i/>
          <w:iCs/>
          <w:sz w:val="20"/>
          <w:szCs w:val="24"/>
          <w:lang w:eastAsia="fr-FR"/>
        </w:rPr>
        <w:t>Les auteurs du Liber inventent un chemin, à la fois réel et merveilleux, qui mène des grands sanctuaires de pèlerinage du XIe siècle –Jérusalem, Rome, Saint-Martin de Tours, Vézelay, Le Puy, Saint-Gilles vers la basilique de Compostelle</w:t>
      </w:r>
      <w:r w:rsidRPr="00D10154">
        <w:rPr>
          <w:rFonts w:ascii="Comic Sans MS" w:eastAsia="Times New Roman" w:hAnsi="Comic Sans MS" w:cs="Times New Roman"/>
          <w:b/>
          <w:bCs/>
          <w:sz w:val="20"/>
          <w:szCs w:val="24"/>
          <w:lang w:eastAsia="fr-FR"/>
        </w:rPr>
        <w:t>."</w:t>
      </w:r>
    </w:p>
    <w:p w:rsidR="00495E70" w:rsidRDefault="00D10154" w:rsidP="00D10154">
      <w:pPr>
        <w:jc w:val="right"/>
        <w:rPr>
          <w:sz w:val="20"/>
          <w:szCs w:val="20"/>
        </w:rPr>
      </w:pPr>
      <w:r w:rsidRPr="00D10154">
        <w:rPr>
          <w:rFonts w:ascii="Comic Sans MS" w:hAnsi="Comic Sans MS"/>
          <w:sz w:val="20"/>
          <w:szCs w:val="20"/>
        </w:rPr>
        <w:t>Pierre SWALUS</w:t>
      </w:r>
      <w:r w:rsidRPr="00D10154">
        <w:rPr>
          <w:rFonts w:ascii="Comic Sans MS" w:hAnsi="Comic Sans MS"/>
          <w:sz w:val="20"/>
          <w:szCs w:val="20"/>
        </w:rPr>
        <w:br/>
      </w:r>
      <w:hyperlink r:id="rId6" w:history="1">
        <w:r w:rsidRPr="00740988">
          <w:rPr>
            <w:rStyle w:val="Lienhypertexte"/>
            <w:rFonts w:ascii="Comic Sans MS" w:hAnsi="Comic Sans MS"/>
            <w:sz w:val="20"/>
            <w:szCs w:val="20"/>
          </w:rPr>
          <w:t>pierre.swalus@verscompostelle.</w:t>
        </w:r>
        <w:r w:rsidRPr="00740988">
          <w:rPr>
            <w:rStyle w:val="Lienhypertexte"/>
            <w:sz w:val="20"/>
            <w:szCs w:val="20"/>
          </w:rPr>
          <w:t>be</w:t>
        </w:r>
      </w:hyperlink>
    </w:p>
    <w:p w:rsidR="00D10154" w:rsidRPr="00D10154" w:rsidRDefault="00D10154" w:rsidP="00D10154">
      <w:pPr>
        <w:jc w:val="right"/>
        <w:rPr>
          <w:sz w:val="20"/>
          <w:szCs w:val="20"/>
        </w:rPr>
      </w:pPr>
    </w:p>
    <w:sectPr w:rsidR="00D10154" w:rsidRPr="00D10154" w:rsidSect="0049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hyphenationZone w:val="425"/>
  <w:characterSpacingControl w:val="doNotCompress"/>
  <w:compat/>
  <w:rsids>
    <w:rsidRoot w:val="00D10154"/>
    <w:rsid w:val="00495E70"/>
    <w:rsid w:val="006A41A5"/>
    <w:rsid w:val="007F18E4"/>
    <w:rsid w:val="007F53B4"/>
    <w:rsid w:val="00A92828"/>
    <w:rsid w:val="00A97D20"/>
    <w:rsid w:val="00D1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1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01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1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2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erre.swalus@verscompostelle.b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verscompostelle.be/images/cartes/cartes%20de%20France/Les%20chemims%20en%20France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Swalus</dc:creator>
  <cp:lastModifiedBy>Pierre Swalus</cp:lastModifiedBy>
  <cp:revision>1</cp:revision>
  <dcterms:created xsi:type="dcterms:W3CDTF">2026-04-10T11:59:00Z</dcterms:created>
  <dcterms:modified xsi:type="dcterms:W3CDTF">2026-04-10T12:06:00Z</dcterms:modified>
</cp:coreProperties>
</file>